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F27C" w14:textId="77777777" w:rsidR="00323268" w:rsidRPr="00B6258C" w:rsidRDefault="00323268" w:rsidP="00BC6D10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B6258C">
        <w:rPr>
          <w:rFonts w:asciiTheme="majorHAnsi" w:hAnsiTheme="majorHAnsi" w:cstheme="majorHAnsi"/>
          <w:b/>
          <w:sz w:val="21"/>
          <w:szCs w:val="21"/>
        </w:rPr>
        <w:t>Specific Aims</w:t>
      </w:r>
    </w:p>
    <w:p w14:paraId="07533B71" w14:textId="664AACD5" w:rsidR="00465B4A" w:rsidRPr="003B119F" w:rsidRDefault="00B17B40" w:rsidP="00BC6D10">
      <w:pPr>
        <w:spacing w:line="276" w:lineRule="auto"/>
        <w:rPr>
          <w:rFonts w:cstheme="minorHAnsi"/>
          <w:sz w:val="21"/>
          <w:szCs w:val="21"/>
        </w:rPr>
      </w:pPr>
      <w:r w:rsidRPr="00446DDE">
        <w:rPr>
          <w:rFonts w:cstheme="minorHAnsi"/>
          <w:sz w:val="21"/>
          <w:szCs w:val="21"/>
        </w:rPr>
        <w:t>Tube</w:t>
      </w:r>
      <w:r w:rsidR="00460447" w:rsidRPr="00446DDE">
        <w:rPr>
          <w:rFonts w:cstheme="minorHAnsi"/>
          <w:sz w:val="21"/>
          <w:szCs w:val="21"/>
        </w:rPr>
        <w:t xml:space="preserve">rous sclerosis complex (TSC) is a </w:t>
      </w:r>
      <w:r w:rsidR="009B1E45">
        <w:rPr>
          <w:rFonts w:cstheme="minorHAnsi"/>
          <w:sz w:val="21"/>
          <w:szCs w:val="21"/>
        </w:rPr>
        <w:t xml:space="preserve">genetic </w:t>
      </w:r>
      <w:r w:rsidR="00460447" w:rsidRPr="00446DDE">
        <w:rPr>
          <w:rFonts w:cstheme="minorHAnsi"/>
          <w:sz w:val="21"/>
          <w:szCs w:val="21"/>
        </w:rPr>
        <w:t xml:space="preserve">disorder that </w:t>
      </w:r>
      <w:r w:rsidRPr="00446DDE">
        <w:rPr>
          <w:rFonts w:cstheme="minorHAnsi"/>
          <w:sz w:val="21"/>
          <w:szCs w:val="21"/>
        </w:rPr>
        <w:t xml:space="preserve">results in the </w:t>
      </w:r>
      <w:r w:rsidRPr="003B119F">
        <w:rPr>
          <w:rFonts w:cstheme="minorHAnsi"/>
          <w:sz w:val="21"/>
          <w:szCs w:val="21"/>
        </w:rPr>
        <w:t xml:space="preserve">formation of benign tumors </w:t>
      </w:r>
      <w:r w:rsidR="00460447" w:rsidRPr="003B119F">
        <w:rPr>
          <w:rFonts w:cstheme="minorHAnsi"/>
          <w:sz w:val="21"/>
          <w:szCs w:val="21"/>
        </w:rPr>
        <w:t>throughout the body</w:t>
      </w:r>
      <w:r w:rsidRPr="003B119F">
        <w:rPr>
          <w:rFonts w:cstheme="minorHAnsi"/>
          <w:sz w:val="21"/>
          <w:szCs w:val="21"/>
        </w:rPr>
        <w:t>,</w:t>
      </w:r>
      <w:r w:rsidR="00C82FDF" w:rsidRPr="003B119F">
        <w:rPr>
          <w:rFonts w:cstheme="minorHAnsi"/>
          <w:sz w:val="21"/>
          <w:szCs w:val="21"/>
        </w:rPr>
        <w:t xml:space="preserve"> including</w:t>
      </w:r>
      <w:r w:rsidR="009B1E45">
        <w:rPr>
          <w:rFonts w:cstheme="minorHAnsi"/>
          <w:sz w:val="21"/>
          <w:szCs w:val="21"/>
        </w:rPr>
        <w:t xml:space="preserve"> </w:t>
      </w:r>
      <w:r w:rsidR="00CB5B10" w:rsidRPr="003B119F">
        <w:rPr>
          <w:rFonts w:cstheme="minorHAnsi"/>
          <w:sz w:val="21"/>
          <w:szCs w:val="21"/>
        </w:rPr>
        <w:t>the kidneys</w:t>
      </w:r>
      <w:r w:rsidR="000318F4" w:rsidRPr="003B119F">
        <w:rPr>
          <w:rFonts w:cstheme="minorHAnsi"/>
          <w:sz w:val="21"/>
          <w:szCs w:val="21"/>
          <w:vertAlign w:val="superscript"/>
        </w:rPr>
        <w:t>[1]</w:t>
      </w:r>
      <w:r w:rsidR="00C82FDF" w:rsidRPr="003B119F">
        <w:rPr>
          <w:rFonts w:cstheme="minorHAnsi"/>
          <w:sz w:val="21"/>
          <w:szCs w:val="21"/>
        </w:rPr>
        <w:t>.</w:t>
      </w:r>
      <w:r w:rsidR="000318F4" w:rsidRPr="003B119F">
        <w:rPr>
          <w:rFonts w:cstheme="minorHAnsi"/>
          <w:sz w:val="21"/>
          <w:szCs w:val="21"/>
        </w:rPr>
        <w:t xml:space="preserve"> </w:t>
      </w:r>
      <w:r w:rsidR="00894C48" w:rsidRPr="003B119F">
        <w:rPr>
          <w:rFonts w:cstheme="minorHAnsi"/>
          <w:sz w:val="21"/>
          <w:szCs w:val="21"/>
        </w:rPr>
        <w:t>TSC is caused by inactivatin</w:t>
      </w:r>
      <w:r w:rsidR="00697FE6" w:rsidRPr="003B119F">
        <w:rPr>
          <w:rFonts w:cstheme="minorHAnsi"/>
          <w:sz w:val="21"/>
          <w:szCs w:val="21"/>
        </w:rPr>
        <w:t xml:space="preserve">g mutations in either the hamartin or </w:t>
      </w:r>
      <w:r w:rsidR="00894C48" w:rsidRPr="003B119F">
        <w:rPr>
          <w:rFonts w:cstheme="minorHAnsi"/>
          <w:sz w:val="21"/>
          <w:szCs w:val="21"/>
        </w:rPr>
        <w:t>tuberin</w:t>
      </w:r>
      <w:r w:rsidR="00D41B63" w:rsidRPr="003B119F">
        <w:rPr>
          <w:rFonts w:cstheme="minorHAnsi"/>
          <w:sz w:val="21"/>
          <w:szCs w:val="21"/>
        </w:rPr>
        <w:t xml:space="preserve"> </w:t>
      </w:r>
      <w:r w:rsidR="00894C48" w:rsidRPr="003B119F">
        <w:rPr>
          <w:rFonts w:cstheme="minorHAnsi"/>
          <w:sz w:val="21"/>
          <w:szCs w:val="21"/>
        </w:rPr>
        <w:t xml:space="preserve">tumor suppressor genes. </w:t>
      </w:r>
      <w:r w:rsidR="00282146">
        <w:rPr>
          <w:rFonts w:cstheme="minorHAnsi"/>
          <w:sz w:val="21"/>
          <w:szCs w:val="21"/>
        </w:rPr>
        <w:t>These genes code for</w:t>
      </w:r>
      <w:r w:rsidR="000C41F1" w:rsidRPr="003B119F">
        <w:rPr>
          <w:rFonts w:cstheme="minorHAnsi"/>
          <w:sz w:val="21"/>
          <w:szCs w:val="21"/>
        </w:rPr>
        <w:t xml:space="preserve"> proteins</w:t>
      </w:r>
      <w:r w:rsidR="00894C48" w:rsidRPr="003B119F">
        <w:rPr>
          <w:rFonts w:cstheme="minorHAnsi"/>
          <w:sz w:val="21"/>
          <w:szCs w:val="21"/>
        </w:rPr>
        <w:t xml:space="preserve"> </w:t>
      </w:r>
      <w:r w:rsidR="00282146">
        <w:rPr>
          <w:rFonts w:cstheme="minorHAnsi"/>
          <w:sz w:val="21"/>
          <w:szCs w:val="21"/>
        </w:rPr>
        <w:t xml:space="preserve">that form a heterodimer with </w:t>
      </w:r>
      <w:r w:rsidR="00894C48" w:rsidRPr="003B119F">
        <w:rPr>
          <w:rFonts w:cstheme="minorHAnsi"/>
          <w:sz w:val="21"/>
          <w:szCs w:val="21"/>
        </w:rPr>
        <w:t xml:space="preserve">GTPase-activating protein activity toward Rheb, a negative regulator of </w:t>
      </w:r>
      <w:r w:rsidR="00B434C1" w:rsidRPr="003B119F">
        <w:rPr>
          <w:rFonts w:cstheme="minorHAnsi"/>
          <w:sz w:val="21"/>
          <w:szCs w:val="21"/>
        </w:rPr>
        <w:t xml:space="preserve">the kinase </w:t>
      </w:r>
      <w:r w:rsidR="00894C48" w:rsidRPr="003B119F">
        <w:rPr>
          <w:rFonts w:cstheme="minorHAnsi"/>
          <w:sz w:val="21"/>
          <w:szCs w:val="21"/>
        </w:rPr>
        <w:t>mTORC1</w:t>
      </w:r>
      <w:r w:rsidR="00894C48" w:rsidRPr="003B119F">
        <w:rPr>
          <w:rFonts w:cstheme="minorHAnsi"/>
          <w:sz w:val="21"/>
          <w:szCs w:val="21"/>
          <w:vertAlign w:val="superscript"/>
        </w:rPr>
        <w:t>[2]</w:t>
      </w:r>
      <w:r w:rsidR="00894C48" w:rsidRPr="003B119F">
        <w:rPr>
          <w:rFonts w:cstheme="minorHAnsi"/>
          <w:sz w:val="21"/>
          <w:szCs w:val="21"/>
        </w:rPr>
        <w:t>. Loss of this</w:t>
      </w:r>
      <w:r w:rsidR="00105458" w:rsidRPr="003B119F">
        <w:rPr>
          <w:rFonts w:cstheme="minorHAnsi"/>
          <w:sz w:val="21"/>
          <w:szCs w:val="21"/>
        </w:rPr>
        <w:t xml:space="preserve"> regulatory activity results in </w:t>
      </w:r>
      <w:r w:rsidR="00411843" w:rsidRPr="003B119F">
        <w:rPr>
          <w:rFonts w:cstheme="minorHAnsi"/>
          <w:sz w:val="21"/>
          <w:szCs w:val="21"/>
        </w:rPr>
        <w:t>dysregulation of cell growth and proliferation, thus resulting in tumor formation</w:t>
      </w:r>
      <w:r w:rsidR="00894C48" w:rsidRPr="003B119F">
        <w:rPr>
          <w:rFonts w:cstheme="minorHAnsi"/>
          <w:sz w:val="21"/>
          <w:szCs w:val="21"/>
        </w:rPr>
        <w:t>.</w:t>
      </w:r>
      <w:r w:rsidR="00411843" w:rsidRPr="003B119F">
        <w:rPr>
          <w:rFonts w:cstheme="minorHAnsi"/>
          <w:sz w:val="21"/>
          <w:szCs w:val="21"/>
        </w:rPr>
        <w:t xml:space="preserve"> These tumors are typically benign, </w:t>
      </w:r>
      <w:r w:rsidR="00E0771C" w:rsidRPr="003B119F">
        <w:rPr>
          <w:rFonts w:cstheme="minorHAnsi"/>
          <w:sz w:val="21"/>
          <w:szCs w:val="21"/>
        </w:rPr>
        <w:t>with the exception of</w:t>
      </w:r>
      <w:r w:rsidR="00411843" w:rsidRPr="003B119F">
        <w:rPr>
          <w:rFonts w:cstheme="minorHAnsi"/>
          <w:sz w:val="21"/>
          <w:szCs w:val="21"/>
        </w:rPr>
        <w:t xml:space="preserve"> renal cell carcinoma</w:t>
      </w:r>
      <w:r w:rsidR="00BC0152">
        <w:rPr>
          <w:rFonts w:cstheme="minorHAnsi"/>
          <w:sz w:val="21"/>
          <w:szCs w:val="21"/>
        </w:rPr>
        <w:t>.</w:t>
      </w:r>
      <w:r w:rsidR="000318F4" w:rsidRPr="003B119F">
        <w:rPr>
          <w:rFonts w:cstheme="minorHAnsi"/>
          <w:sz w:val="21"/>
          <w:szCs w:val="21"/>
        </w:rPr>
        <w:t xml:space="preserve"> </w:t>
      </w:r>
      <w:r w:rsidR="00894C48" w:rsidRPr="003B119F">
        <w:rPr>
          <w:rFonts w:cstheme="minorHAnsi"/>
          <w:i/>
          <w:sz w:val="21"/>
          <w:szCs w:val="21"/>
        </w:rPr>
        <w:t xml:space="preserve">The </w:t>
      </w:r>
      <w:r w:rsidR="00EA457A" w:rsidRPr="003B119F">
        <w:rPr>
          <w:rFonts w:cstheme="minorHAnsi"/>
          <w:i/>
          <w:sz w:val="21"/>
          <w:szCs w:val="21"/>
        </w:rPr>
        <w:t xml:space="preserve">differential </w:t>
      </w:r>
      <w:r w:rsidR="00837F31" w:rsidRPr="003B119F">
        <w:rPr>
          <w:rFonts w:cstheme="minorHAnsi"/>
          <w:i/>
          <w:sz w:val="21"/>
          <w:szCs w:val="21"/>
        </w:rPr>
        <w:t>role of tuberin</w:t>
      </w:r>
      <w:r w:rsidR="00D41B63" w:rsidRPr="003B119F">
        <w:rPr>
          <w:rFonts w:cstheme="minorHAnsi"/>
          <w:i/>
          <w:sz w:val="21"/>
          <w:szCs w:val="21"/>
        </w:rPr>
        <w:t xml:space="preserve"> </w:t>
      </w:r>
      <w:r w:rsidR="00BC0152">
        <w:rPr>
          <w:rFonts w:cstheme="minorHAnsi"/>
          <w:i/>
          <w:sz w:val="21"/>
          <w:szCs w:val="21"/>
        </w:rPr>
        <w:t>in malignant</w:t>
      </w:r>
      <w:r w:rsidR="0034306C" w:rsidRPr="003B119F">
        <w:rPr>
          <w:rFonts w:cstheme="minorHAnsi"/>
          <w:i/>
          <w:sz w:val="21"/>
          <w:szCs w:val="21"/>
        </w:rPr>
        <w:t xml:space="preserve"> renal cell carcinoma </w:t>
      </w:r>
      <w:r w:rsidR="00BC0152">
        <w:rPr>
          <w:rFonts w:cstheme="minorHAnsi"/>
          <w:i/>
          <w:sz w:val="21"/>
          <w:szCs w:val="21"/>
        </w:rPr>
        <w:t xml:space="preserve">(RCC) </w:t>
      </w:r>
      <w:r w:rsidR="00282146">
        <w:rPr>
          <w:rFonts w:cstheme="minorHAnsi"/>
          <w:i/>
          <w:sz w:val="21"/>
          <w:szCs w:val="21"/>
        </w:rPr>
        <w:t xml:space="preserve">in comparison </w:t>
      </w:r>
      <w:r w:rsidR="0034306C" w:rsidRPr="003B119F">
        <w:rPr>
          <w:rFonts w:cstheme="minorHAnsi"/>
          <w:i/>
          <w:sz w:val="21"/>
          <w:szCs w:val="21"/>
        </w:rPr>
        <w:t xml:space="preserve">to </w:t>
      </w:r>
      <w:r w:rsidR="00BC0152">
        <w:rPr>
          <w:rFonts w:cstheme="minorHAnsi"/>
          <w:i/>
          <w:sz w:val="21"/>
          <w:szCs w:val="21"/>
        </w:rPr>
        <w:t>benign r</w:t>
      </w:r>
      <w:bookmarkStart w:id="0" w:name="_GoBack"/>
      <w:bookmarkEnd w:id="0"/>
      <w:r w:rsidR="00BC0152">
        <w:rPr>
          <w:rFonts w:cstheme="minorHAnsi"/>
          <w:i/>
          <w:sz w:val="21"/>
          <w:szCs w:val="21"/>
        </w:rPr>
        <w:t>enal angiomyolipoma</w:t>
      </w:r>
      <w:r w:rsidR="009B1E45">
        <w:rPr>
          <w:rFonts w:cstheme="minorHAnsi"/>
          <w:i/>
          <w:sz w:val="21"/>
          <w:szCs w:val="21"/>
        </w:rPr>
        <w:t xml:space="preserve"> </w:t>
      </w:r>
      <w:r w:rsidR="00BC0152">
        <w:rPr>
          <w:rFonts w:cstheme="minorHAnsi"/>
          <w:i/>
          <w:sz w:val="21"/>
          <w:szCs w:val="21"/>
        </w:rPr>
        <w:t xml:space="preserve">(AML) </w:t>
      </w:r>
      <w:r w:rsidR="00EA457A" w:rsidRPr="003B119F">
        <w:rPr>
          <w:rFonts w:cstheme="minorHAnsi"/>
          <w:i/>
          <w:sz w:val="21"/>
          <w:szCs w:val="21"/>
        </w:rPr>
        <w:t>is unknown</w:t>
      </w:r>
      <w:r w:rsidR="00EA457A" w:rsidRPr="003B119F">
        <w:rPr>
          <w:rFonts w:cstheme="minorHAnsi"/>
          <w:sz w:val="21"/>
          <w:szCs w:val="21"/>
          <w:vertAlign w:val="superscript"/>
        </w:rPr>
        <w:t>[3]</w:t>
      </w:r>
      <w:r w:rsidR="00323268" w:rsidRPr="003B119F">
        <w:rPr>
          <w:rFonts w:cstheme="minorHAnsi"/>
          <w:sz w:val="21"/>
          <w:szCs w:val="21"/>
        </w:rPr>
        <w:t>.</w:t>
      </w:r>
      <w:r w:rsidR="00EA457A" w:rsidRPr="003B119F">
        <w:rPr>
          <w:rFonts w:cstheme="minorHAnsi"/>
          <w:sz w:val="21"/>
          <w:szCs w:val="21"/>
        </w:rPr>
        <w:t xml:space="preserve"> </w:t>
      </w:r>
    </w:p>
    <w:p w14:paraId="1F1C20F7" w14:textId="15FB1D61" w:rsidR="001F211B" w:rsidRPr="00446DDE" w:rsidRDefault="00EA457A" w:rsidP="00BC6D10">
      <w:pPr>
        <w:spacing w:line="276" w:lineRule="auto"/>
        <w:rPr>
          <w:rFonts w:cstheme="minorHAnsi"/>
          <w:sz w:val="21"/>
          <w:szCs w:val="21"/>
        </w:rPr>
      </w:pPr>
      <w:r w:rsidRPr="003B119F">
        <w:rPr>
          <w:rFonts w:cstheme="minorHAnsi"/>
          <w:sz w:val="21"/>
          <w:szCs w:val="21"/>
        </w:rPr>
        <w:t xml:space="preserve">My </w:t>
      </w:r>
      <w:r w:rsidRPr="003B119F">
        <w:rPr>
          <w:rFonts w:cstheme="minorHAnsi"/>
          <w:b/>
          <w:sz w:val="21"/>
          <w:szCs w:val="21"/>
        </w:rPr>
        <w:t>primary goal</w:t>
      </w:r>
      <w:r w:rsidRPr="003B119F">
        <w:rPr>
          <w:rFonts w:cstheme="minorHAnsi"/>
          <w:sz w:val="21"/>
          <w:szCs w:val="21"/>
        </w:rPr>
        <w:t xml:space="preserve"> is to find differences in the role of tuberin in </w:t>
      </w:r>
      <w:r w:rsidR="00BC0152">
        <w:rPr>
          <w:rFonts w:cstheme="minorHAnsi"/>
          <w:sz w:val="21"/>
          <w:szCs w:val="21"/>
        </w:rPr>
        <w:t>RCC</w:t>
      </w:r>
      <w:r w:rsidR="00FB5311">
        <w:rPr>
          <w:rFonts w:cstheme="minorHAnsi"/>
          <w:sz w:val="21"/>
          <w:szCs w:val="21"/>
        </w:rPr>
        <w:t xml:space="preserve"> in comparison</w:t>
      </w:r>
      <w:r w:rsidRPr="003B119F">
        <w:rPr>
          <w:rFonts w:cstheme="minorHAnsi"/>
          <w:sz w:val="21"/>
          <w:szCs w:val="21"/>
        </w:rPr>
        <w:t xml:space="preserve"> to</w:t>
      </w:r>
      <w:r w:rsidR="00E940FE">
        <w:rPr>
          <w:rFonts w:cstheme="minorHAnsi"/>
          <w:sz w:val="21"/>
          <w:szCs w:val="21"/>
        </w:rPr>
        <w:t xml:space="preserve"> </w:t>
      </w:r>
      <w:r w:rsidR="00BC0152">
        <w:rPr>
          <w:rFonts w:cstheme="minorHAnsi"/>
          <w:sz w:val="21"/>
          <w:szCs w:val="21"/>
        </w:rPr>
        <w:t>AML</w:t>
      </w:r>
      <w:r w:rsidRPr="003B119F">
        <w:rPr>
          <w:rFonts w:cstheme="minorHAnsi"/>
          <w:sz w:val="21"/>
          <w:szCs w:val="21"/>
        </w:rPr>
        <w:t xml:space="preserve">. I will use </w:t>
      </w:r>
      <w:r w:rsidR="00BC0152">
        <w:rPr>
          <w:rFonts w:cstheme="minorHAnsi"/>
          <w:i/>
          <w:sz w:val="21"/>
          <w:szCs w:val="21"/>
        </w:rPr>
        <w:t>Rattus norvegicus</w:t>
      </w:r>
      <w:r w:rsidRPr="003B119F">
        <w:rPr>
          <w:rFonts w:cstheme="minorHAnsi"/>
          <w:i/>
          <w:sz w:val="21"/>
          <w:szCs w:val="21"/>
        </w:rPr>
        <w:t xml:space="preserve"> </w:t>
      </w:r>
      <w:r w:rsidR="000C41F1" w:rsidRPr="003B119F">
        <w:rPr>
          <w:rFonts w:cstheme="minorHAnsi"/>
          <w:iCs/>
          <w:sz w:val="21"/>
          <w:szCs w:val="21"/>
        </w:rPr>
        <w:t xml:space="preserve">as a model organism </w:t>
      </w:r>
      <w:r w:rsidRPr="003B119F">
        <w:rPr>
          <w:rFonts w:cstheme="minorHAnsi"/>
          <w:sz w:val="21"/>
          <w:szCs w:val="21"/>
        </w:rPr>
        <w:t>because it</w:t>
      </w:r>
      <w:r w:rsidRPr="00446DDE">
        <w:rPr>
          <w:rFonts w:cstheme="minorHAnsi"/>
          <w:sz w:val="21"/>
          <w:szCs w:val="21"/>
        </w:rPr>
        <w:t xml:space="preserve"> </w:t>
      </w:r>
      <w:r w:rsidR="00BC0152">
        <w:rPr>
          <w:rFonts w:cstheme="minorHAnsi"/>
          <w:sz w:val="21"/>
          <w:szCs w:val="21"/>
        </w:rPr>
        <w:t>has been shown to manifest both</w:t>
      </w:r>
      <w:r w:rsidRPr="00446DDE">
        <w:rPr>
          <w:rFonts w:cstheme="minorHAnsi"/>
          <w:sz w:val="21"/>
          <w:szCs w:val="21"/>
        </w:rPr>
        <w:t xml:space="preserve"> </w:t>
      </w:r>
      <w:r w:rsidR="009B1E45">
        <w:rPr>
          <w:rFonts w:cstheme="minorHAnsi"/>
          <w:sz w:val="21"/>
          <w:szCs w:val="21"/>
        </w:rPr>
        <w:t xml:space="preserve">TSC-associated </w:t>
      </w:r>
      <w:r w:rsidR="00BC0152">
        <w:rPr>
          <w:rFonts w:cstheme="minorHAnsi"/>
          <w:sz w:val="21"/>
          <w:szCs w:val="21"/>
        </w:rPr>
        <w:t xml:space="preserve">RCC and AML </w:t>
      </w:r>
      <w:r w:rsidR="004A1F74" w:rsidRPr="00446DDE">
        <w:rPr>
          <w:rFonts w:cstheme="minorHAnsi"/>
          <w:sz w:val="21"/>
          <w:szCs w:val="21"/>
        </w:rPr>
        <w:t xml:space="preserve">and shows high </w:t>
      </w:r>
      <w:r w:rsidR="00D41B63" w:rsidRPr="00446DDE">
        <w:rPr>
          <w:rFonts w:cstheme="minorHAnsi"/>
          <w:sz w:val="21"/>
          <w:szCs w:val="21"/>
        </w:rPr>
        <w:t>homology with human tuberin (</w:t>
      </w:r>
      <w:r w:rsidRPr="00446DDE">
        <w:rPr>
          <w:rFonts w:cstheme="minorHAnsi"/>
          <w:sz w:val="21"/>
          <w:szCs w:val="21"/>
        </w:rPr>
        <w:t>91%</w:t>
      </w:r>
      <w:r w:rsidR="00D41B63" w:rsidRPr="00446DDE">
        <w:rPr>
          <w:rFonts w:cstheme="minorHAnsi"/>
          <w:sz w:val="21"/>
          <w:szCs w:val="21"/>
        </w:rPr>
        <w:t>)</w:t>
      </w:r>
      <w:r w:rsidR="004A1F74" w:rsidRPr="00446DDE">
        <w:rPr>
          <w:rFonts w:cstheme="minorHAnsi"/>
          <w:sz w:val="21"/>
          <w:szCs w:val="21"/>
          <w:vertAlign w:val="superscript"/>
        </w:rPr>
        <w:t>[4]</w:t>
      </w:r>
      <w:r w:rsidRPr="00446DDE">
        <w:rPr>
          <w:rFonts w:cstheme="minorHAnsi"/>
          <w:sz w:val="21"/>
          <w:szCs w:val="21"/>
        </w:rPr>
        <w:t xml:space="preserve">. I </w:t>
      </w:r>
      <w:r w:rsidRPr="00446DDE">
        <w:rPr>
          <w:rFonts w:cstheme="minorHAnsi"/>
          <w:b/>
          <w:sz w:val="21"/>
          <w:szCs w:val="21"/>
        </w:rPr>
        <w:t>hypothesize</w:t>
      </w:r>
      <w:r w:rsidRPr="00446DDE">
        <w:rPr>
          <w:rFonts w:cstheme="minorHAnsi"/>
          <w:sz w:val="21"/>
          <w:szCs w:val="21"/>
        </w:rPr>
        <w:t xml:space="preserve"> that differential manifestations of tuberin in </w:t>
      </w:r>
      <w:r w:rsidR="00BC0152">
        <w:rPr>
          <w:rFonts w:cstheme="minorHAnsi"/>
          <w:sz w:val="21"/>
          <w:szCs w:val="21"/>
        </w:rPr>
        <w:t>RCC and AML</w:t>
      </w:r>
      <w:r w:rsidR="004A1F74" w:rsidRPr="00446DDE">
        <w:rPr>
          <w:rFonts w:cstheme="minorHAnsi"/>
          <w:sz w:val="21"/>
          <w:szCs w:val="21"/>
        </w:rPr>
        <w:t xml:space="preserve"> will </w:t>
      </w:r>
      <w:r w:rsidR="000C41F1" w:rsidRPr="00446DDE">
        <w:rPr>
          <w:rFonts w:cstheme="minorHAnsi"/>
          <w:sz w:val="21"/>
          <w:szCs w:val="21"/>
        </w:rPr>
        <w:t>elucidate</w:t>
      </w:r>
      <w:r w:rsidR="004A1F74" w:rsidRPr="00446DDE">
        <w:rPr>
          <w:rFonts w:cstheme="minorHAnsi"/>
          <w:sz w:val="21"/>
          <w:szCs w:val="21"/>
        </w:rPr>
        <w:t xml:space="preserve"> why </w:t>
      </w:r>
      <w:r w:rsidR="00BC0152">
        <w:rPr>
          <w:rFonts w:cstheme="minorHAnsi"/>
          <w:sz w:val="21"/>
          <w:szCs w:val="21"/>
        </w:rPr>
        <w:t>some tumors</w:t>
      </w:r>
      <w:r w:rsidR="004A1F74" w:rsidRPr="00446DDE">
        <w:rPr>
          <w:rFonts w:cstheme="minorHAnsi"/>
          <w:sz w:val="21"/>
          <w:szCs w:val="21"/>
        </w:rPr>
        <w:t xml:space="preserve"> become invasive while others do not. My </w:t>
      </w:r>
      <w:r w:rsidR="004A1F74" w:rsidRPr="00446DDE">
        <w:rPr>
          <w:rFonts w:cstheme="minorHAnsi"/>
          <w:b/>
          <w:sz w:val="21"/>
          <w:szCs w:val="21"/>
        </w:rPr>
        <w:t xml:space="preserve">long-term goal </w:t>
      </w:r>
      <w:r w:rsidR="004A1F74" w:rsidRPr="00446DDE">
        <w:rPr>
          <w:rFonts w:cstheme="minorHAnsi"/>
          <w:sz w:val="21"/>
          <w:szCs w:val="21"/>
        </w:rPr>
        <w:t xml:space="preserve">is to better understand the differences between </w:t>
      </w:r>
      <w:r w:rsidR="009B1E45">
        <w:rPr>
          <w:rFonts w:cstheme="minorHAnsi"/>
          <w:sz w:val="21"/>
          <w:szCs w:val="21"/>
        </w:rPr>
        <w:t>malignant</w:t>
      </w:r>
      <w:r w:rsidR="004A1F74" w:rsidRPr="00446DDE">
        <w:rPr>
          <w:rFonts w:cstheme="minorHAnsi"/>
          <w:sz w:val="21"/>
          <w:szCs w:val="21"/>
        </w:rPr>
        <w:t xml:space="preserve"> and benign models of TSC for further insight in</w:t>
      </w:r>
      <w:r w:rsidR="00C97B04" w:rsidRPr="00446DDE">
        <w:rPr>
          <w:rFonts w:cstheme="minorHAnsi"/>
          <w:sz w:val="21"/>
          <w:szCs w:val="21"/>
        </w:rPr>
        <w:t>to</w:t>
      </w:r>
      <w:r w:rsidR="00282146">
        <w:rPr>
          <w:rFonts w:cstheme="minorHAnsi"/>
          <w:sz w:val="21"/>
          <w:szCs w:val="21"/>
        </w:rPr>
        <w:t xml:space="preserve"> carcinogenesis and </w:t>
      </w:r>
      <w:r w:rsidR="009B1E45">
        <w:rPr>
          <w:rFonts w:cstheme="minorHAnsi"/>
          <w:sz w:val="21"/>
          <w:szCs w:val="21"/>
        </w:rPr>
        <w:t xml:space="preserve">potential </w:t>
      </w:r>
      <w:r w:rsidR="00282146">
        <w:rPr>
          <w:rFonts w:cstheme="minorHAnsi"/>
          <w:sz w:val="21"/>
          <w:szCs w:val="21"/>
        </w:rPr>
        <w:t xml:space="preserve">future </w:t>
      </w:r>
      <w:r w:rsidR="004A1F74" w:rsidRPr="00446DDE">
        <w:rPr>
          <w:rFonts w:cstheme="minorHAnsi"/>
          <w:sz w:val="21"/>
          <w:szCs w:val="21"/>
        </w:rPr>
        <w:t>treatment</w:t>
      </w:r>
      <w:r w:rsidR="009B1E45">
        <w:rPr>
          <w:rFonts w:cstheme="minorHAnsi"/>
          <w:sz w:val="21"/>
          <w:szCs w:val="21"/>
        </w:rPr>
        <w:t>s</w:t>
      </w:r>
      <w:r w:rsidR="004A1F74" w:rsidRPr="00446DDE">
        <w:rPr>
          <w:rFonts w:cstheme="minorHAnsi"/>
          <w:sz w:val="21"/>
          <w:szCs w:val="21"/>
        </w:rPr>
        <w:t>.</w:t>
      </w:r>
    </w:p>
    <w:p w14:paraId="15295F14" w14:textId="1C221842" w:rsidR="004A1F74" w:rsidRPr="00B6258C" w:rsidRDefault="004A1F74" w:rsidP="00BC6D10">
      <w:pPr>
        <w:spacing w:after="0" w:line="276" w:lineRule="auto"/>
        <w:rPr>
          <w:rFonts w:asciiTheme="majorHAnsi" w:hAnsiTheme="majorHAnsi" w:cstheme="majorHAnsi"/>
          <w:sz w:val="21"/>
          <w:szCs w:val="21"/>
        </w:rPr>
      </w:pPr>
      <w:r w:rsidRPr="00B6258C">
        <w:rPr>
          <w:rFonts w:asciiTheme="majorHAnsi" w:hAnsiTheme="majorHAnsi" w:cstheme="majorHAnsi"/>
          <w:sz w:val="21"/>
          <w:szCs w:val="21"/>
          <w:u w:val="single"/>
        </w:rPr>
        <w:t>Aim 1: Identif</w:t>
      </w:r>
      <w:r w:rsidR="00D41B63" w:rsidRPr="00B6258C">
        <w:rPr>
          <w:rFonts w:asciiTheme="majorHAnsi" w:hAnsiTheme="majorHAnsi" w:cstheme="majorHAnsi"/>
          <w:sz w:val="21"/>
          <w:szCs w:val="21"/>
          <w:u w:val="single"/>
        </w:rPr>
        <w:t>y conserved sequences in intergenic areas flanking the tuberin gene and introns t</w:t>
      </w:r>
      <w:r w:rsidRPr="00B6258C">
        <w:rPr>
          <w:rFonts w:asciiTheme="majorHAnsi" w:hAnsiTheme="majorHAnsi" w:cstheme="majorHAnsi"/>
          <w:sz w:val="21"/>
          <w:szCs w:val="21"/>
          <w:u w:val="single"/>
        </w:rPr>
        <w:t>hat may</w:t>
      </w:r>
      <w:r w:rsidR="00D41B63" w:rsidRPr="00B6258C">
        <w:rPr>
          <w:rFonts w:asciiTheme="majorHAnsi" w:hAnsiTheme="majorHAnsi" w:cstheme="majorHAnsi"/>
          <w:sz w:val="21"/>
          <w:szCs w:val="21"/>
          <w:u w:val="single"/>
        </w:rPr>
        <w:t xml:space="preserve"> be important for gene regulation and protein structure.</w:t>
      </w:r>
    </w:p>
    <w:p w14:paraId="6F313058" w14:textId="7BCA40CE" w:rsidR="004A1F74" w:rsidRPr="00446DDE" w:rsidRDefault="004A1F74" w:rsidP="00BC6D10">
      <w:pPr>
        <w:spacing w:after="0" w:line="276" w:lineRule="auto"/>
        <w:rPr>
          <w:rFonts w:cstheme="minorHAnsi"/>
          <w:sz w:val="21"/>
          <w:szCs w:val="21"/>
        </w:rPr>
      </w:pPr>
      <w:r w:rsidRPr="004D6FCD">
        <w:rPr>
          <w:rFonts w:cstheme="minorHAnsi"/>
          <w:b/>
          <w:sz w:val="21"/>
          <w:szCs w:val="21"/>
        </w:rPr>
        <w:t>Approach</w:t>
      </w:r>
      <w:r w:rsidRPr="00446DDE">
        <w:rPr>
          <w:rFonts w:cstheme="minorHAnsi"/>
          <w:sz w:val="21"/>
          <w:szCs w:val="21"/>
        </w:rPr>
        <w:t>: I</w:t>
      </w:r>
      <w:r w:rsidR="00D41B63" w:rsidRPr="00446DDE">
        <w:rPr>
          <w:rFonts w:cstheme="minorHAnsi"/>
          <w:sz w:val="21"/>
          <w:szCs w:val="21"/>
        </w:rPr>
        <w:t xml:space="preserve"> will use BLAST to identify tuberin</w:t>
      </w:r>
      <w:r w:rsidRPr="00446DDE">
        <w:rPr>
          <w:rFonts w:cstheme="minorHAnsi"/>
          <w:sz w:val="21"/>
          <w:szCs w:val="21"/>
        </w:rPr>
        <w:t xml:space="preserve"> homologs in </w:t>
      </w:r>
      <w:r w:rsidR="00C97B04" w:rsidRPr="00446DDE">
        <w:rPr>
          <w:rFonts w:cstheme="minorHAnsi"/>
          <w:sz w:val="21"/>
          <w:szCs w:val="21"/>
        </w:rPr>
        <w:t>humans and homologous species</w:t>
      </w:r>
      <w:r w:rsidRPr="00446DDE">
        <w:rPr>
          <w:rFonts w:cstheme="minorHAnsi"/>
          <w:sz w:val="21"/>
          <w:szCs w:val="21"/>
        </w:rPr>
        <w:t>. I will then</w:t>
      </w:r>
      <w:r w:rsidR="00EC1737" w:rsidRPr="00446DDE">
        <w:rPr>
          <w:rFonts w:cstheme="minorHAnsi"/>
          <w:sz w:val="21"/>
          <w:szCs w:val="21"/>
        </w:rPr>
        <w:t xml:space="preserve"> build phylogenetic trees </w:t>
      </w:r>
      <w:r w:rsidR="005733F6">
        <w:rPr>
          <w:rFonts w:cstheme="minorHAnsi"/>
          <w:sz w:val="21"/>
          <w:szCs w:val="21"/>
        </w:rPr>
        <w:t xml:space="preserve">to </w:t>
      </w:r>
      <w:r w:rsidR="002522BA" w:rsidRPr="00446DDE">
        <w:rPr>
          <w:rFonts w:cstheme="minorHAnsi"/>
          <w:sz w:val="21"/>
          <w:szCs w:val="21"/>
        </w:rPr>
        <w:t>identify highly conserved sequences</w:t>
      </w:r>
      <w:r w:rsidR="00832B95" w:rsidRPr="00446DDE">
        <w:rPr>
          <w:rFonts w:cstheme="minorHAnsi"/>
          <w:sz w:val="21"/>
          <w:szCs w:val="21"/>
        </w:rPr>
        <w:t xml:space="preserve"> over evolutionary time</w:t>
      </w:r>
      <w:r w:rsidR="003F100F">
        <w:rPr>
          <w:rFonts w:cstheme="minorHAnsi"/>
          <w:sz w:val="21"/>
          <w:szCs w:val="21"/>
        </w:rPr>
        <w:t xml:space="preserve"> and</w:t>
      </w:r>
      <w:r w:rsidR="005733F6">
        <w:rPr>
          <w:rFonts w:cstheme="minorHAnsi"/>
          <w:sz w:val="21"/>
          <w:szCs w:val="21"/>
        </w:rPr>
        <w:t xml:space="preserve"> compare these areas with </w:t>
      </w:r>
      <w:r w:rsidR="003F100F">
        <w:rPr>
          <w:rFonts w:cstheme="minorHAnsi"/>
          <w:sz w:val="21"/>
          <w:szCs w:val="21"/>
        </w:rPr>
        <w:t>motifs</w:t>
      </w:r>
      <w:r w:rsidR="005B0E2F">
        <w:rPr>
          <w:rFonts w:cstheme="minorHAnsi"/>
          <w:sz w:val="21"/>
          <w:szCs w:val="21"/>
        </w:rPr>
        <w:t xml:space="preserve"> on MEME</w:t>
      </w:r>
      <w:r w:rsidR="003F100F">
        <w:rPr>
          <w:rFonts w:cstheme="minorHAnsi"/>
          <w:sz w:val="21"/>
          <w:szCs w:val="21"/>
        </w:rPr>
        <w:t xml:space="preserve">. </w:t>
      </w:r>
      <w:r w:rsidR="00BC497E">
        <w:rPr>
          <w:rFonts w:cstheme="minorHAnsi"/>
          <w:sz w:val="21"/>
          <w:szCs w:val="21"/>
        </w:rPr>
        <w:t xml:space="preserve">On </w:t>
      </w:r>
      <w:r w:rsidR="003F100F">
        <w:rPr>
          <w:rFonts w:cstheme="minorHAnsi"/>
          <w:sz w:val="21"/>
          <w:szCs w:val="21"/>
        </w:rPr>
        <w:t>the best candidates, I will use</w:t>
      </w:r>
      <w:r w:rsidR="002522BA" w:rsidRPr="00446DDE">
        <w:rPr>
          <w:rFonts w:cstheme="minorHAnsi"/>
          <w:sz w:val="21"/>
          <w:szCs w:val="21"/>
        </w:rPr>
        <w:t xml:space="preserve"> CRISPR/Cas9 to create </w:t>
      </w:r>
      <w:r w:rsidR="00BC497E">
        <w:rPr>
          <w:rFonts w:cstheme="minorHAnsi"/>
          <w:sz w:val="21"/>
          <w:szCs w:val="21"/>
        </w:rPr>
        <w:t>knockout mice</w:t>
      </w:r>
      <w:r w:rsidR="00D41B63" w:rsidRPr="00446DDE">
        <w:rPr>
          <w:rFonts w:cstheme="minorHAnsi"/>
          <w:sz w:val="21"/>
          <w:szCs w:val="21"/>
        </w:rPr>
        <w:t xml:space="preserve"> and screen for</w:t>
      </w:r>
      <w:r w:rsidR="002522BA" w:rsidRPr="00446DDE">
        <w:rPr>
          <w:rFonts w:cstheme="minorHAnsi"/>
          <w:sz w:val="21"/>
          <w:szCs w:val="21"/>
        </w:rPr>
        <w:t xml:space="preserve"> </w:t>
      </w:r>
      <w:r w:rsidR="005733F6">
        <w:rPr>
          <w:rFonts w:cstheme="minorHAnsi"/>
          <w:sz w:val="21"/>
          <w:szCs w:val="21"/>
        </w:rPr>
        <w:t>growths in the kidney</w:t>
      </w:r>
      <w:r w:rsidR="00EA695C">
        <w:rPr>
          <w:rFonts w:cstheme="minorHAnsi"/>
          <w:sz w:val="21"/>
          <w:szCs w:val="21"/>
        </w:rPr>
        <w:t>s</w:t>
      </w:r>
      <w:r w:rsidR="00DA081D">
        <w:rPr>
          <w:rFonts w:cstheme="minorHAnsi"/>
          <w:sz w:val="21"/>
          <w:szCs w:val="21"/>
        </w:rPr>
        <w:t>.</w:t>
      </w:r>
    </w:p>
    <w:p w14:paraId="4D189502" w14:textId="6D5D690A" w:rsidR="00EC1737" w:rsidRPr="00446DDE" w:rsidRDefault="00EC1737" w:rsidP="00BC6D10">
      <w:pPr>
        <w:spacing w:after="0" w:line="276" w:lineRule="auto"/>
        <w:rPr>
          <w:rFonts w:cstheme="minorHAnsi"/>
          <w:sz w:val="21"/>
          <w:szCs w:val="21"/>
        </w:rPr>
      </w:pPr>
      <w:r w:rsidRPr="004D6FCD">
        <w:rPr>
          <w:rFonts w:cstheme="minorHAnsi"/>
          <w:b/>
          <w:sz w:val="21"/>
          <w:szCs w:val="21"/>
        </w:rPr>
        <w:t>Rationale</w:t>
      </w:r>
      <w:r w:rsidR="00D41B63" w:rsidRPr="00446DDE">
        <w:rPr>
          <w:rFonts w:cstheme="minorHAnsi"/>
          <w:sz w:val="21"/>
          <w:szCs w:val="21"/>
        </w:rPr>
        <w:t xml:space="preserve">: While tuberin exons are well-characterized, approximately 10% of patients with TSC have </w:t>
      </w:r>
      <w:r w:rsidRPr="00446DDE">
        <w:rPr>
          <w:rFonts w:cstheme="minorHAnsi"/>
          <w:sz w:val="21"/>
          <w:szCs w:val="21"/>
        </w:rPr>
        <w:t>no mutation identified</w:t>
      </w:r>
      <w:r w:rsidR="00D41B63" w:rsidRPr="00446DDE">
        <w:rPr>
          <w:rFonts w:cstheme="minorHAnsi"/>
          <w:sz w:val="21"/>
          <w:szCs w:val="21"/>
        </w:rPr>
        <w:t>.</w:t>
      </w:r>
      <w:r w:rsidR="003F100F">
        <w:rPr>
          <w:rFonts w:cstheme="minorHAnsi"/>
          <w:sz w:val="21"/>
          <w:szCs w:val="21"/>
        </w:rPr>
        <w:t xml:space="preserve"> </w:t>
      </w:r>
      <w:r w:rsidR="00BC497E">
        <w:rPr>
          <w:rFonts w:cstheme="minorHAnsi"/>
          <w:sz w:val="21"/>
          <w:szCs w:val="21"/>
        </w:rPr>
        <w:t>A</w:t>
      </w:r>
      <w:r w:rsidR="003F100F">
        <w:rPr>
          <w:rFonts w:cstheme="minorHAnsi"/>
          <w:sz w:val="21"/>
          <w:szCs w:val="21"/>
        </w:rPr>
        <w:t>lternate</w:t>
      </w:r>
      <w:r w:rsidR="00BC497E">
        <w:rPr>
          <w:rFonts w:cstheme="minorHAnsi"/>
          <w:sz w:val="21"/>
          <w:szCs w:val="21"/>
        </w:rPr>
        <w:t xml:space="preserve"> mechanisms of TSC pathogenesis that may provide information </w:t>
      </w:r>
      <w:r w:rsidR="00FB5311">
        <w:rPr>
          <w:rFonts w:cstheme="minorHAnsi"/>
          <w:sz w:val="21"/>
          <w:szCs w:val="21"/>
        </w:rPr>
        <w:t xml:space="preserve">about why specific malignancies occur. </w:t>
      </w:r>
    </w:p>
    <w:p w14:paraId="1AC340B7" w14:textId="05211061" w:rsidR="00BC6D10" w:rsidRPr="00BC6D10" w:rsidRDefault="004D5BD7" w:rsidP="00BC6D10">
      <w:pPr>
        <w:spacing w:line="276" w:lineRule="auto"/>
        <w:rPr>
          <w:rFonts w:cstheme="minorHAnsi"/>
          <w:sz w:val="21"/>
          <w:szCs w:val="21"/>
        </w:rPr>
      </w:pPr>
      <w:r w:rsidRPr="004D6FCD">
        <w:rPr>
          <w:rFonts w:cstheme="minorHAnsi"/>
          <w:b/>
          <w:sz w:val="21"/>
          <w:szCs w:val="21"/>
        </w:rPr>
        <w:t>Hypothesis</w:t>
      </w:r>
      <w:r w:rsidRPr="00446DDE">
        <w:rPr>
          <w:rFonts w:cstheme="minorHAnsi"/>
          <w:sz w:val="21"/>
          <w:szCs w:val="21"/>
        </w:rPr>
        <w:t xml:space="preserve">: I hypothesize that </w:t>
      </w:r>
      <w:r w:rsidR="00EC1737" w:rsidRPr="00446DDE">
        <w:rPr>
          <w:rFonts w:cstheme="minorHAnsi"/>
          <w:sz w:val="21"/>
          <w:szCs w:val="21"/>
        </w:rPr>
        <w:t xml:space="preserve">mutations in conserved regions will identify important intronic </w:t>
      </w:r>
      <w:r w:rsidR="00D41B63" w:rsidRPr="00446DDE">
        <w:rPr>
          <w:rFonts w:cstheme="minorHAnsi"/>
          <w:sz w:val="21"/>
          <w:szCs w:val="21"/>
        </w:rPr>
        <w:t>and intergenic</w:t>
      </w:r>
      <w:r w:rsidR="00BC0152">
        <w:rPr>
          <w:rFonts w:cstheme="minorHAnsi"/>
          <w:sz w:val="21"/>
          <w:szCs w:val="21"/>
        </w:rPr>
        <w:t xml:space="preserve"> sequences that cause TSC in </w:t>
      </w:r>
      <w:r w:rsidR="00D41B63" w:rsidRPr="00446DDE">
        <w:rPr>
          <w:rFonts w:cstheme="minorHAnsi"/>
          <w:sz w:val="21"/>
          <w:szCs w:val="21"/>
        </w:rPr>
        <w:t>patients</w:t>
      </w:r>
      <w:r w:rsidR="00BC0152">
        <w:rPr>
          <w:rFonts w:cstheme="minorHAnsi"/>
          <w:sz w:val="21"/>
          <w:szCs w:val="21"/>
        </w:rPr>
        <w:t xml:space="preserve"> who are currently no mutation identified</w:t>
      </w:r>
      <w:r w:rsidR="00D41B63" w:rsidRPr="00446DDE">
        <w:rPr>
          <w:rFonts w:cstheme="minorHAnsi"/>
          <w:sz w:val="21"/>
          <w:szCs w:val="21"/>
        </w:rPr>
        <w:t xml:space="preserve"> by altering gene regulation and protein structure.</w:t>
      </w:r>
    </w:p>
    <w:p w14:paraId="2E0BBCC0" w14:textId="4D0D3E30" w:rsidR="003B119F" w:rsidRPr="00B6258C" w:rsidRDefault="003B119F" w:rsidP="00BC6D10">
      <w:pPr>
        <w:spacing w:after="0" w:line="276" w:lineRule="auto"/>
        <w:rPr>
          <w:rFonts w:asciiTheme="majorHAnsi" w:hAnsiTheme="majorHAnsi" w:cstheme="majorHAnsi"/>
          <w:sz w:val="21"/>
          <w:szCs w:val="21"/>
        </w:rPr>
      </w:pPr>
      <w:r w:rsidRPr="00B6258C">
        <w:rPr>
          <w:rFonts w:asciiTheme="majorHAnsi" w:hAnsiTheme="majorHAnsi" w:cstheme="majorHAnsi"/>
          <w:sz w:val="21"/>
          <w:szCs w:val="21"/>
          <w:u w:val="single"/>
        </w:rPr>
        <w:t xml:space="preserve">Aim 2: Identify </w:t>
      </w:r>
      <w:r w:rsidR="004635E0" w:rsidRPr="00B6258C">
        <w:rPr>
          <w:rFonts w:asciiTheme="majorHAnsi" w:hAnsiTheme="majorHAnsi" w:cstheme="majorHAnsi"/>
          <w:sz w:val="21"/>
          <w:szCs w:val="21"/>
          <w:u w:val="single"/>
        </w:rPr>
        <w:t>differential expression</w:t>
      </w:r>
      <w:r w:rsidR="00282146">
        <w:rPr>
          <w:rFonts w:asciiTheme="majorHAnsi" w:hAnsiTheme="majorHAnsi" w:cstheme="majorHAnsi"/>
          <w:sz w:val="21"/>
          <w:szCs w:val="21"/>
          <w:u w:val="single"/>
        </w:rPr>
        <w:t xml:space="preserve"> between benign versus cancerous growths.</w:t>
      </w:r>
    </w:p>
    <w:p w14:paraId="4C695EF3" w14:textId="31F3F7F0" w:rsidR="003B119F" w:rsidRDefault="003B119F" w:rsidP="008A7CEB">
      <w:pPr>
        <w:tabs>
          <w:tab w:val="left" w:pos="1710"/>
        </w:tabs>
        <w:spacing w:after="0" w:line="276" w:lineRule="auto"/>
        <w:rPr>
          <w:rFonts w:cstheme="minorHAnsi"/>
          <w:sz w:val="21"/>
          <w:szCs w:val="21"/>
        </w:rPr>
      </w:pPr>
      <w:r w:rsidRPr="003929EB">
        <w:rPr>
          <w:rFonts w:eastAsia="Times New Roman" w:cstheme="minorHAnsi"/>
          <w:b/>
          <w:sz w:val="21"/>
          <w:szCs w:val="21"/>
        </w:rPr>
        <w:t>Approach:</w:t>
      </w:r>
      <w:r>
        <w:rPr>
          <w:rFonts w:eastAsia="Times New Roman" w:cstheme="minorHAnsi"/>
          <w:sz w:val="21"/>
          <w:szCs w:val="21"/>
        </w:rPr>
        <w:t xml:space="preserve"> I</w:t>
      </w:r>
      <w:r w:rsidR="00282146">
        <w:rPr>
          <w:rFonts w:eastAsia="Times New Roman" w:cstheme="minorHAnsi"/>
          <w:sz w:val="21"/>
          <w:szCs w:val="21"/>
        </w:rPr>
        <w:t xml:space="preserve"> will i</w:t>
      </w:r>
      <w:r>
        <w:rPr>
          <w:rFonts w:eastAsia="Times New Roman" w:cstheme="minorHAnsi"/>
          <w:sz w:val="21"/>
          <w:szCs w:val="21"/>
        </w:rPr>
        <w:t xml:space="preserve">solate </w:t>
      </w:r>
      <w:r w:rsidR="00282146">
        <w:rPr>
          <w:rFonts w:eastAsia="Times New Roman" w:cstheme="minorHAnsi"/>
          <w:sz w:val="21"/>
          <w:szCs w:val="21"/>
        </w:rPr>
        <w:t>whole blood a</w:t>
      </w:r>
      <w:r w:rsidR="005733F6">
        <w:rPr>
          <w:rFonts w:eastAsia="Times New Roman" w:cstheme="minorHAnsi"/>
          <w:sz w:val="21"/>
          <w:szCs w:val="21"/>
        </w:rPr>
        <w:t>nd whole-tissue</w:t>
      </w:r>
      <w:r w:rsidR="00282146">
        <w:rPr>
          <w:rFonts w:eastAsia="Times New Roman" w:cstheme="minorHAnsi"/>
          <w:sz w:val="21"/>
          <w:szCs w:val="21"/>
        </w:rPr>
        <w:t xml:space="preserve"> samples from </w:t>
      </w:r>
      <w:r w:rsidR="000A7733">
        <w:rPr>
          <w:rFonts w:eastAsia="Times New Roman" w:cstheme="minorHAnsi"/>
          <w:sz w:val="21"/>
          <w:szCs w:val="21"/>
        </w:rPr>
        <w:t xml:space="preserve">growths in </w:t>
      </w:r>
      <w:r w:rsidR="0080662F">
        <w:rPr>
          <w:rFonts w:eastAsia="Times New Roman" w:cstheme="minorHAnsi"/>
          <w:sz w:val="21"/>
          <w:szCs w:val="21"/>
        </w:rPr>
        <w:t xml:space="preserve">TSC </w:t>
      </w:r>
      <w:r w:rsidR="000A7733">
        <w:rPr>
          <w:rFonts w:eastAsia="Times New Roman" w:cstheme="minorHAnsi"/>
          <w:sz w:val="21"/>
          <w:szCs w:val="21"/>
        </w:rPr>
        <w:t xml:space="preserve">patients with </w:t>
      </w:r>
      <w:r w:rsidR="00433499">
        <w:rPr>
          <w:rFonts w:eastAsia="Times New Roman" w:cstheme="minorHAnsi"/>
          <w:sz w:val="21"/>
          <w:szCs w:val="21"/>
        </w:rPr>
        <w:t>either RCC or</w:t>
      </w:r>
      <w:r w:rsidR="000A7733">
        <w:rPr>
          <w:rFonts w:eastAsia="Times New Roman" w:cstheme="minorHAnsi"/>
          <w:sz w:val="21"/>
          <w:szCs w:val="21"/>
        </w:rPr>
        <w:t xml:space="preserve"> AML, either, or both</w:t>
      </w:r>
      <w:r>
        <w:rPr>
          <w:rFonts w:eastAsia="Times New Roman" w:cstheme="minorHAnsi"/>
          <w:sz w:val="21"/>
          <w:szCs w:val="21"/>
        </w:rPr>
        <w:t>.</w:t>
      </w:r>
      <w:r w:rsidR="00282146">
        <w:rPr>
          <w:rFonts w:eastAsia="Times New Roman" w:cstheme="minorHAnsi"/>
          <w:sz w:val="21"/>
          <w:szCs w:val="21"/>
        </w:rPr>
        <w:t xml:space="preserve"> I will then u</w:t>
      </w:r>
      <w:r w:rsidRPr="003B119F">
        <w:rPr>
          <w:rFonts w:eastAsia="Times New Roman" w:cstheme="minorHAnsi"/>
          <w:sz w:val="21"/>
          <w:szCs w:val="21"/>
        </w:rPr>
        <w:t xml:space="preserve">se RNA-seq </w:t>
      </w:r>
      <w:r>
        <w:rPr>
          <w:rFonts w:eastAsia="Times New Roman" w:cstheme="minorHAnsi"/>
          <w:sz w:val="21"/>
          <w:szCs w:val="21"/>
        </w:rPr>
        <w:t xml:space="preserve">to determine differential </w:t>
      </w:r>
      <w:r w:rsidR="00282146">
        <w:rPr>
          <w:rFonts w:eastAsia="Times New Roman" w:cstheme="minorHAnsi"/>
          <w:sz w:val="21"/>
          <w:szCs w:val="21"/>
        </w:rPr>
        <w:t xml:space="preserve">gene </w:t>
      </w:r>
      <w:r w:rsidR="004405D9">
        <w:rPr>
          <w:rFonts w:eastAsia="Times New Roman" w:cstheme="minorHAnsi"/>
          <w:sz w:val="21"/>
          <w:szCs w:val="21"/>
        </w:rPr>
        <w:t xml:space="preserve">expression </w:t>
      </w:r>
      <w:r w:rsidR="000A7733">
        <w:rPr>
          <w:rFonts w:eastAsia="Times New Roman" w:cstheme="minorHAnsi"/>
          <w:sz w:val="21"/>
          <w:szCs w:val="21"/>
        </w:rPr>
        <w:t>bot</w:t>
      </w:r>
      <w:r w:rsidR="00DC0DB4">
        <w:rPr>
          <w:rFonts w:eastAsia="Times New Roman" w:cstheme="minorHAnsi"/>
          <w:sz w:val="21"/>
          <w:szCs w:val="21"/>
        </w:rPr>
        <w:t>h for</w:t>
      </w:r>
      <w:r w:rsidR="000A7733">
        <w:rPr>
          <w:rFonts w:eastAsia="Times New Roman" w:cstheme="minorHAnsi"/>
          <w:sz w:val="21"/>
          <w:szCs w:val="21"/>
        </w:rPr>
        <w:t xml:space="preserve"> a </w:t>
      </w:r>
      <w:r w:rsidR="00DC0DB4">
        <w:rPr>
          <w:rFonts w:eastAsia="Times New Roman" w:cstheme="minorHAnsi"/>
          <w:sz w:val="21"/>
          <w:szCs w:val="21"/>
        </w:rPr>
        <w:t xml:space="preserve">single </w:t>
      </w:r>
      <w:r w:rsidR="000A7733">
        <w:rPr>
          <w:rFonts w:eastAsia="Times New Roman" w:cstheme="minorHAnsi"/>
          <w:sz w:val="21"/>
          <w:szCs w:val="21"/>
        </w:rPr>
        <w:t>patient and against the cohort. Then I will use</w:t>
      </w:r>
      <w:r w:rsidR="004405D9">
        <w:rPr>
          <w:rFonts w:eastAsia="Times New Roman" w:cstheme="minorHAnsi"/>
          <w:sz w:val="21"/>
          <w:szCs w:val="21"/>
        </w:rPr>
        <w:t xml:space="preserve"> </w:t>
      </w:r>
      <w:r w:rsidR="0080662F">
        <w:rPr>
          <w:rFonts w:eastAsia="Times New Roman" w:cstheme="minorHAnsi"/>
          <w:sz w:val="21"/>
          <w:szCs w:val="21"/>
        </w:rPr>
        <w:t>gene ont</w:t>
      </w:r>
      <w:r w:rsidR="003C6D12">
        <w:rPr>
          <w:rFonts w:eastAsia="Times New Roman" w:cstheme="minorHAnsi"/>
          <w:sz w:val="21"/>
          <w:szCs w:val="21"/>
        </w:rPr>
        <w:t>ology</w:t>
      </w:r>
      <w:r w:rsidR="004405D9">
        <w:rPr>
          <w:rFonts w:eastAsia="Times New Roman" w:cstheme="minorHAnsi"/>
          <w:sz w:val="21"/>
          <w:szCs w:val="21"/>
        </w:rPr>
        <w:t xml:space="preserve"> </w:t>
      </w:r>
      <w:r w:rsidR="00BA72FB">
        <w:rPr>
          <w:rFonts w:eastAsia="Times New Roman" w:cstheme="minorHAnsi"/>
          <w:sz w:val="21"/>
          <w:szCs w:val="21"/>
        </w:rPr>
        <w:t>to identify gene function patterns</w:t>
      </w:r>
      <w:r w:rsidR="003C6D12">
        <w:rPr>
          <w:rFonts w:eastAsia="Times New Roman" w:cstheme="minorHAnsi"/>
          <w:sz w:val="21"/>
          <w:szCs w:val="21"/>
        </w:rPr>
        <w:t xml:space="preserve"> for identified differences</w:t>
      </w:r>
      <w:r w:rsidR="00BA72FB">
        <w:rPr>
          <w:rFonts w:eastAsia="Times New Roman" w:cstheme="minorHAnsi"/>
          <w:sz w:val="21"/>
          <w:szCs w:val="21"/>
        </w:rPr>
        <w:t xml:space="preserve">. </w:t>
      </w:r>
      <w:r w:rsidR="003C6D12">
        <w:rPr>
          <w:rFonts w:eastAsia="Times New Roman" w:cstheme="minorHAnsi"/>
          <w:sz w:val="21"/>
          <w:szCs w:val="21"/>
        </w:rPr>
        <w:t>Finally,</w:t>
      </w:r>
      <w:r w:rsidR="00BA72FB">
        <w:rPr>
          <w:rFonts w:eastAsia="Times New Roman" w:cstheme="minorHAnsi"/>
          <w:sz w:val="21"/>
          <w:szCs w:val="21"/>
        </w:rPr>
        <w:t xml:space="preserve"> I will use</w:t>
      </w:r>
      <w:r w:rsidR="0080662F" w:rsidRPr="00446DDE">
        <w:rPr>
          <w:rFonts w:cstheme="minorHAnsi"/>
          <w:sz w:val="21"/>
          <w:szCs w:val="21"/>
        </w:rPr>
        <w:t xml:space="preserve"> CRISPR/Cas9 </w:t>
      </w:r>
      <w:r w:rsidR="0080662F">
        <w:rPr>
          <w:rFonts w:cstheme="minorHAnsi"/>
          <w:sz w:val="21"/>
          <w:szCs w:val="21"/>
        </w:rPr>
        <w:t xml:space="preserve">to </w:t>
      </w:r>
      <w:r w:rsidR="0080662F" w:rsidRPr="00446DDE">
        <w:rPr>
          <w:rFonts w:cstheme="minorHAnsi"/>
          <w:sz w:val="21"/>
          <w:szCs w:val="21"/>
        </w:rPr>
        <w:t xml:space="preserve">create mice with deletions in </w:t>
      </w:r>
      <w:r w:rsidR="0080662F">
        <w:rPr>
          <w:rFonts w:cstheme="minorHAnsi"/>
          <w:sz w:val="21"/>
          <w:szCs w:val="21"/>
        </w:rPr>
        <w:t xml:space="preserve">differentially expressed genes and screen for </w:t>
      </w:r>
      <w:r w:rsidR="000A7733">
        <w:rPr>
          <w:rFonts w:cstheme="minorHAnsi"/>
          <w:sz w:val="21"/>
          <w:szCs w:val="21"/>
        </w:rPr>
        <w:t>RCC and AML histology.</w:t>
      </w:r>
    </w:p>
    <w:p w14:paraId="6DDCA03F" w14:textId="677E59FA" w:rsidR="0080662F" w:rsidRPr="00446DDE" w:rsidRDefault="0080662F" w:rsidP="00BC6D10">
      <w:pPr>
        <w:spacing w:after="0" w:line="276" w:lineRule="auto"/>
        <w:rPr>
          <w:rFonts w:cstheme="minorHAnsi"/>
          <w:sz w:val="21"/>
          <w:szCs w:val="21"/>
        </w:rPr>
      </w:pPr>
      <w:r w:rsidRPr="004D6FCD">
        <w:rPr>
          <w:rFonts w:cstheme="minorHAnsi"/>
          <w:b/>
          <w:sz w:val="21"/>
          <w:szCs w:val="21"/>
        </w:rPr>
        <w:t>Rationale</w:t>
      </w:r>
      <w:r w:rsidRPr="00446DDE">
        <w:rPr>
          <w:rFonts w:cstheme="minorHAnsi"/>
          <w:sz w:val="21"/>
          <w:szCs w:val="21"/>
        </w:rPr>
        <w:t xml:space="preserve">: </w:t>
      </w:r>
      <w:r w:rsidR="00BA72FB">
        <w:rPr>
          <w:rFonts w:cstheme="minorHAnsi"/>
          <w:sz w:val="21"/>
          <w:szCs w:val="21"/>
        </w:rPr>
        <w:t>Differential gene expression between people and/or systems may result in differential manifestations of TSC.</w:t>
      </w:r>
    </w:p>
    <w:p w14:paraId="43FC84A7" w14:textId="48A65BDC" w:rsidR="0080662F" w:rsidRDefault="0080662F" w:rsidP="00BC6D10">
      <w:pPr>
        <w:spacing w:after="0" w:line="276" w:lineRule="auto"/>
        <w:rPr>
          <w:rFonts w:cstheme="minorHAnsi"/>
          <w:sz w:val="21"/>
          <w:szCs w:val="21"/>
        </w:rPr>
      </w:pPr>
      <w:r w:rsidRPr="004D6FCD">
        <w:rPr>
          <w:rFonts w:cstheme="minorHAnsi"/>
          <w:b/>
          <w:sz w:val="21"/>
          <w:szCs w:val="21"/>
        </w:rPr>
        <w:t>Hypothesis</w:t>
      </w:r>
      <w:r w:rsidRPr="00446DDE">
        <w:rPr>
          <w:rFonts w:cstheme="minorHAnsi"/>
          <w:sz w:val="21"/>
          <w:szCs w:val="21"/>
        </w:rPr>
        <w:t xml:space="preserve">: I hypothesize </w:t>
      </w:r>
      <w:r w:rsidR="00BA72FB">
        <w:rPr>
          <w:rFonts w:cstheme="minorHAnsi"/>
          <w:sz w:val="21"/>
          <w:szCs w:val="21"/>
        </w:rPr>
        <w:t xml:space="preserve">that differential gene expression may result </w:t>
      </w:r>
      <w:r w:rsidR="00CE1A8E">
        <w:rPr>
          <w:rFonts w:cstheme="minorHAnsi"/>
          <w:sz w:val="21"/>
          <w:szCs w:val="21"/>
        </w:rPr>
        <w:t xml:space="preserve">in the difference between malignant </w:t>
      </w:r>
      <w:r w:rsidR="00BA72FB">
        <w:rPr>
          <w:rFonts w:cstheme="minorHAnsi"/>
          <w:sz w:val="21"/>
          <w:szCs w:val="21"/>
        </w:rPr>
        <w:t>versus benign growths in TSC.</w:t>
      </w:r>
    </w:p>
    <w:p w14:paraId="3813E247" w14:textId="77777777" w:rsidR="0080662F" w:rsidRPr="00446DDE" w:rsidRDefault="0080662F" w:rsidP="00BC6D10">
      <w:pPr>
        <w:spacing w:after="0" w:line="276" w:lineRule="auto"/>
        <w:rPr>
          <w:rFonts w:eastAsia="Times New Roman" w:cstheme="minorHAnsi"/>
          <w:sz w:val="21"/>
          <w:szCs w:val="21"/>
        </w:rPr>
      </w:pPr>
    </w:p>
    <w:p w14:paraId="6F5E245E" w14:textId="77777777" w:rsidR="00446DDE" w:rsidRPr="00446DDE" w:rsidRDefault="00446DDE" w:rsidP="00BC6D10">
      <w:pPr>
        <w:spacing w:after="0"/>
        <w:rPr>
          <w:rFonts w:eastAsia="Times New Roman" w:cstheme="minorHAnsi"/>
          <w:b/>
          <w:sz w:val="21"/>
          <w:szCs w:val="21"/>
          <w:lang w:val="pt-PT"/>
        </w:rPr>
      </w:pPr>
      <w:r w:rsidRPr="00446DDE">
        <w:rPr>
          <w:rFonts w:eastAsia="Times New Roman" w:cstheme="minorHAnsi"/>
          <w:b/>
          <w:sz w:val="21"/>
          <w:szCs w:val="21"/>
          <w:lang w:val="pt-PT"/>
        </w:rPr>
        <w:br w:type="page"/>
      </w:r>
    </w:p>
    <w:p w14:paraId="3A48E974" w14:textId="3DBBF977" w:rsidR="001F211B" w:rsidRPr="00446DDE" w:rsidRDefault="001F211B" w:rsidP="00BC6D10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val="pt-PT"/>
        </w:rPr>
      </w:pPr>
      <w:r w:rsidRPr="00446DDE">
        <w:rPr>
          <w:rFonts w:eastAsia="Times New Roman" w:cstheme="minorHAnsi"/>
          <w:b/>
          <w:sz w:val="21"/>
          <w:szCs w:val="21"/>
          <w:lang w:val="pt-PT"/>
        </w:rPr>
        <w:lastRenderedPageBreak/>
        <w:t>References</w:t>
      </w:r>
    </w:p>
    <w:p w14:paraId="1A30E208" w14:textId="77777777" w:rsidR="00894C48" w:rsidRPr="00446DDE" w:rsidRDefault="00894C48" w:rsidP="00BC6D10">
      <w:pPr>
        <w:spacing w:after="0" w:line="276" w:lineRule="auto"/>
        <w:rPr>
          <w:rFonts w:eastAsia="Times New Roman" w:cstheme="minorHAnsi"/>
          <w:sz w:val="21"/>
          <w:szCs w:val="21"/>
        </w:rPr>
      </w:pPr>
      <w:r w:rsidRPr="00446DDE">
        <w:rPr>
          <w:rFonts w:eastAsia="Times New Roman" w:cstheme="minorHAnsi"/>
          <w:sz w:val="21"/>
          <w:szCs w:val="21"/>
          <w:lang w:val="pt-PT"/>
        </w:rPr>
        <w:t>1.</w:t>
      </w:r>
      <w:r w:rsidR="000318F4" w:rsidRPr="00446DDE">
        <w:rPr>
          <w:rFonts w:eastAsia="Times New Roman" w:cstheme="minorHAnsi"/>
          <w:sz w:val="21"/>
          <w:szCs w:val="21"/>
          <w:lang w:val="pt-PT"/>
        </w:rPr>
        <w:t xml:space="preserve"> Orlova, K. A., Crino, P. B. (2010). </w:t>
      </w:r>
      <w:r w:rsidR="000318F4" w:rsidRPr="00446DDE">
        <w:rPr>
          <w:rFonts w:eastAsia="Times New Roman" w:cstheme="minorHAnsi"/>
          <w:sz w:val="21"/>
          <w:szCs w:val="21"/>
        </w:rPr>
        <w:t xml:space="preserve">The tuberous sclerosis complex. </w:t>
      </w:r>
      <w:r w:rsidR="000318F4" w:rsidRPr="00446DDE">
        <w:rPr>
          <w:rFonts w:eastAsia="Times New Roman" w:cstheme="minorHAnsi"/>
          <w:i/>
          <w:sz w:val="21"/>
          <w:szCs w:val="21"/>
        </w:rPr>
        <w:t>Annals of the New York Academy of Sciences, 1184</w:t>
      </w:r>
      <w:r w:rsidR="000318F4" w:rsidRPr="00446DDE">
        <w:rPr>
          <w:rFonts w:eastAsia="Times New Roman" w:cstheme="minorHAnsi"/>
          <w:sz w:val="21"/>
          <w:szCs w:val="21"/>
        </w:rPr>
        <w:t>, 87–105. http://doi.org/10</w:t>
      </w:r>
      <w:r w:rsidRPr="00446DDE">
        <w:rPr>
          <w:rFonts w:eastAsia="Times New Roman" w:cstheme="minorHAnsi"/>
          <w:sz w:val="21"/>
          <w:szCs w:val="21"/>
        </w:rPr>
        <w:t>.1111/j.1749-6632.2009.05117.x</w:t>
      </w:r>
    </w:p>
    <w:p w14:paraId="605C0D0B" w14:textId="77777777" w:rsidR="00894C48" w:rsidRPr="00446DDE" w:rsidRDefault="00894C48" w:rsidP="00BC6D10">
      <w:pPr>
        <w:spacing w:after="0" w:line="276" w:lineRule="auto"/>
        <w:rPr>
          <w:rFonts w:eastAsia="Times New Roman" w:cstheme="minorHAnsi"/>
          <w:sz w:val="21"/>
          <w:szCs w:val="21"/>
        </w:rPr>
      </w:pPr>
      <w:r w:rsidRPr="00446DDE">
        <w:rPr>
          <w:rFonts w:eastAsia="Times New Roman" w:cstheme="minorHAnsi"/>
          <w:sz w:val="21"/>
          <w:szCs w:val="21"/>
          <w:lang w:val="nb-NO"/>
        </w:rPr>
        <w:t xml:space="preserve">2. Huang, J., &amp; Manning, B. D. (2008). </w:t>
      </w:r>
      <w:r w:rsidRPr="00446DDE">
        <w:rPr>
          <w:rFonts w:eastAsia="Times New Roman" w:cstheme="minorHAnsi"/>
          <w:sz w:val="21"/>
          <w:szCs w:val="21"/>
        </w:rPr>
        <w:t xml:space="preserve">The TSC1–TSC2 complex: a molecular switchboard controlling cell growth. </w:t>
      </w:r>
      <w:r w:rsidRPr="00446DDE">
        <w:rPr>
          <w:rFonts w:eastAsia="Times New Roman" w:cstheme="minorHAnsi"/>
          <w:i/>
          <w:sz w:val="21"/>
          <w:szCs w:val="21"/>
        </w:rPr>
        <w:t>The Biochemical Journal, 412</w:t>
      </w:r>
      <w:r w:rsidRPr="00446DDE">
        <w:rPr>
          <w:rFonts w:eastAsia="Times New Roman" w:cstheme="minorHAnsi"/>
          <w:sz w:val="21"/>
          <w:szCs w:val="21"/>
        </w:rPr>
        <w:t>(2), 179–190. http://doi.org/10.1042/BJ20080281</w:t>
      </w:r>
    </w:p>
    <w:p w14:paraId="466D4B6B" w14:textId="77777777" w:rsidR="00427BE6" w:rsidRPr="00446DDE" w:rsidRDefault="00894C48" w:rsidP="00BC6D10">
      <w:pPr>
        <w:spacing w:after="0"/>
        <w:rPr>
          <w:rFonts w:eastAsia="Times New Roman" w:cstheme="minorHAnsi"/>
          <w:sz w:val="21"/>
          <w:szCs w:val="21"/>
        </w:rPr>
      </w:pPr>
      <w:r w:rsidRPr="00446DDE">
        <w:rPr>
          <w:rFonts w:eastAsia="Times New Roman" w:cstheme="minorHAnsi"/>
          <w:sz w:val="21"/>
          <w:szCs w:val="21"/>
        </w:rPr>
        <w:t xml:space="preserve">3. </w:t>
      </w:r>
      <w:r w:rsidR="00EA457A" w:rsidRPr="00446DDE">
        <w:rPr>
          <w:rFonts w:eastAsia="Times New Roman" w:cstheme="minorHAnsi"/>
          <w:sz w:val="21"/>
          <w:szCs w:val="21"/>
        </w:rPr>
        <w:t xml:space="preserve">Menon, S., Manning, B. D. (2009). Common corruption of the mTOR signaling network in human tumors. </w:t>
      </w:r>
      <w:r w:rsidR="00EA457A" w:rsidRPr="00446DDE">
        <w:rPr>
          <w:rFonts w:eastAsia="Times New Roman" w:cstheme="minorHAnsi"/>
          <w:i/>
          <w:sz w:val="21"/>
          <w:szCs w:val="21"/>
        </w:rPr>
        <w:t xml:space="preserve">Oncogene, 27, </w:t>
      </w:r>
      <w:r w:rsidR="00EA457A" w:rsidRPr="00446DDE">
        <w:rPr>
          <w:rFonts w:eastAsia="Times New Roman" w:cstheme="minorHAnsi"/>
          <w:sz w:val="21"/>
          <w:szCs w:val="21"/>
        </w:rPr>
        <w:t>S43-S51. http://doi.org/10.1038/onc.2009.352</w:t>
      </w:r>
    </w:p>
    <w:p w14:paraId="69F31B57" w14:textId="77777777" w:rsidR="00EA457A" w:rsidRPr="00446DDE" w:rsidRDefault="00EA457A" w:rsidP="00BC6D10">
      <w:pPr>
        <w:spacing w:after="0"/>
        <w:rPr>
          <w:rFonts w:eastAsia="Times New Roman" w:cstheme="minorHAnsi"/>
          <w:sz w:val="21"/>
          <w:szCs w:val="21"/>
        </w:rPr>
      </w:pPr>
      <w:r w:rsidRPr="00446DDE">
        <w:rPr>
          <w:rFonts w:eastAsia="Times New Roman" w:cstheme="minorHAnsi"/>
          <w:sz w:val="21"/>
          <w:szCs w:val="21"/>
        </w:rPr>
        <w:t xml:space="preserve">4. Zheng Zhang, Scott Schwartz, Lukas Wagner, and Webb Miller (2000). A greedy algorithm for aligning DNA sequences. </w:t>
      </w:r>
      <w:r w:rsidRPr="00446DDE">
        <w:rPr>
          <w:rFonts w:eastAsia="Times New Roman" w:cstheme="minorHAnsi"/>
          <w:i/>
          <w:sz w:val="21"/>
          <w:szCs w:val="21"/>
        </w:rPr>
        <w:t>J Comput Biol</w:t>
      </w:r>
      <w:r w:rsidRPr="00446DDE">
        <w:rPr>
          <w:rFonts w:eastAsia="Times New Roman" w:cstheme="minorHAnsi"/>
          <w:sz w:val="21"/>
          <w:szCs w:val="21"/>
        </w:rPr>
        <w:t>,</w:t>
      </w:r>
      <w:r w:rsidRPr="00446DDE">
        <w:rPr>
          <w:rFonts w:eastAsia="Times New Roman" w:cstheme="minorHAnsi"/>
          <w:i/>
          <w:sz w:val="21"/>
          <w:szCs w:val="21"/>
        </w:rPr>
        <w:t xml:space="preserve"> 7</w:t>
      </w:r>
      <w:r w:rsidRPr="00446DDE">
        <w:rPr>
          <w:rFonts w:eastAsia="Times New Roman" w:cstheme="minorHAnsi"/>
          <w:sz w:val="21"/>
          <w:szCs w:val="21"/>
        </w:rPr>
        <w:t>(1-2), 203-14.</w:t>
      </w:r>
    </w:p>
    <w:p w14:paraId="2E6CBFC8" w14:textId="77777777" w:rsidR="00460447" w:rsidRPr="00446DDE" w:rsidRDefault="00460447" w:rsidP="00BC6D10">
      <w:pPr>
        <w:spacing w:after="0" w:line="276" w:lineRule="auto"/>
        <w:rPr>
          <w:rFonts w:cstheme="minorHAnsi"/>
          <w:sz w:val="21"/>
          <w:szCs w:val="21"/>
        </w:rPr>
      </w:pPr>
    </w:p>
    <w:sectPr w:rsidR="00460447" w:rsidRPr="00446DDE" w:rsidSect="00446DDE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86AA" w14:textId="77777777" w:rsidR="00446DDE" w:rsidRDefault="00446DDE" w:rsidP="00446DDE">
      <w:pPr>
        <w:spacing w:after="0" w:line="240" w:lineRule="auto"/>
      </w:pPr>
      <w:r>
        <w:separator/>
      </w:r>
    </w:p>
  </w:endnote>
  <w:endnote w:type="continuationSeparator" w:id="0">
    <w:p w14:paraId="347C09DE" w14:textId="77777777" w:rsidR="00446DDE" w:rsidRDefault="00446DDE" w:rsidP="004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E3DB3" w14:textId="77777777" w:rsidR="00446DDE" w:rsidRDefault="00446DDE" w:rsidP="00446DDE">
      <w:pPr>
        <w:spacing w:after="0" w:line="240" w:lineRule="auto"/>
      </w:pPr>
      <w:r>
        <w:separator/>
      </w:r>
    </w:p>
  </w:footnote>
  <w:footnote w:type="continuationSeparator" w:id="0">
    <w:p w14:paraId="36552D37" w14:textId="77777777" w:rsidR="00446DDE" w:rsidRDefault="00446DDE" w:rsidP="0044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0"/>
    <w:rsid w:val="000318F4"/>
    <w:rsid w:val="000A62DB"/>
    <w:rsid w:val="000A7733"/>
    <w:rsid w:val="000C41F1"/>
    <w:rsid w:val="000E259C"/>
    <w:rsid w:val="00103FD0"/>
    <w:rsid w:val="00105458"/>
    <w:rsid w:val="00122E58"/>
    <w:rsid w:val="00141E74"/>
    <w:rsid w:val="00143883"/>
    <w:rsid w:val="001E11F7"/>
    <w:rsid w:val="001F211B"/>
    <w:rsid w:val="002522BA"/>
    <w:rsid w:val="002677F3"/>
    <w:rsid w:val="00282146"/>
    <w:rsid w:val="002A17C2"/>
    <w:rsid w:val="002A6EB9"/>
    <w:rsid w:val="002C1C3D"/>
    <w:rsid w:val="00323268"/>
    <w:rsid w:val="0034306C"/>
    <w:rsid w:val="00362B67"/>
    <w:rsid w:val="00381DAD"/>
    <w:rsid w:val="003929EB"/>
    <w:rsid w:val="003B119F"/>
    <w:rsid w:val="003C6D12"/>
    <w:rsid w:val="003E0802"/>
    <w:rsid w:val="003F100F"/>
    <w:rsid w:val="00411843"/>
    <w:rsid w:val="00427BE6"/>
    <w:rsid w:val="0043038F"/>
    <w:rsid w:val="00433499"/>
    <w:rsid w:val="004405D9"/>
    <w:rsid w:val="004464AD"/>
    <w:rsid w:val="00446DDE"/>
    <w:rsid w:val="00460447"/>
    <w:rsid w:val="004635E0"/>
    <w:rsid w:val="00465B4A"/>
    <w:rsid w:val="00476231"/>
    <w:rsid w:val="0049135F"/>
    <w:rsid w:val="004A1F74"/>
    <w:rsid w:val="004D5BD7"/>
    <w:rsid w:val="004D6FCD"/>
    <w:rsid w:val="00506367"/>
    <w:rsid w:val="00565387"/>
    <w:rsid w:val="005733F6"/>
    <w:rsid w:val="00595820"/>
    <w:rsid w:val="005B0E2F"/>
    <w:rsid w:val="005E5619"/>
    <w:rsid w:val="006576B2"/>
    <w:rsid w:val="00686457"/>
    <w:rsid w:val="00697FE6"/>
    <w:rsid w:val="007364DF"/>
    <w:rsid w:val="0077462A"/>
    <w:rsid w:val="007E2391"/>
    <w:rsid w:val="007E5B94"/>
    <w:rsid w:val="0080662F"/>
    <w:rsid w:val="00832B95"/>
    <w:rsid w:val="008346D8"/>
    <w:rsid w:val="00837F31"/>
    <w:rsid w:val="00846196"/>
    <w:rsid w:val="00894C48"/>
    <w:rsid w:val="008A7CEB"/>
    <w:rsid w:val="008C3804"/>
    <w:rsid w:val="008E1475"/>
    <w:rsid w:val="008F689B"/>
    <w:rsid w:val="009B1E45"/>
    <w:rsid w:val="009C7E84"/>
    <w:rsid w:val="00A10994"/>
    <w:rsid w:val="00A257B6"/>
    <w:rsid w:val="00A323A8"/>
    <w:rsid w:val="00AF5654"/>
    <w:rsid w:val="00B17B40"/>
    <w:rsid w:val="00B434C1"/>
    <w:rsid w:val="00B47253"/>
    <w:rsid w:val="00B512FC"/>
    <w:rsid w:val="00B601EE"/>
    <w:rsid w:val="00B6258C"/>
    <w:rsid w:val="00BA72FB"/>
    <w:rsid w:val="00BC0152"/>
    <w:rsid w:val="00BC497E"/>
    <w:rsid w:val="00BC6D10"/>
    <w:rsid w:val="00C02667"/>
    <w:rsid w:val="00C82FDF"/>
    <w:rsid w:val="00C97B04"/>
    <w:rsid w:val="00CB5B10"/>
    <w:rsid w:val="00CE1A8E"/>
    <w:rsid w:val="00D41B63"/>
    <w:rsid w:val="00D80F5E"/>
    <w:rsid w:val="00DA081D"/>
    <w:rsid w:val="00DC0DB4"/>
    <w:rsid w:val="00E0771C"/>
    <w:rsid w:val="00E15FBC"/>
    <w:rsid w:val="00E575A1"/>
    <w:rsid w:val="00E940FE"/>
    <w:rsid w:val="00EA457A"/>
    <w:rsid w:val="00EA695C"/>
    <w:rsid w:val="00EC1737"/>
    <w:rsid w:val="00FA6103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FE4E"/>
  <w15:chartTrackingRefBased/>
  <w15:docId w15:val="{B36775B0-4989-4E3C-A004-C759249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8F4"/>
    <w:rPr>
      <w:i/>
      <w:iCs/>
    </w:rPr>
  </w:style>
  <w:style w:type="character" w:customStyle="1" w:styleId="apple-converted-space">
    <w:name w:val="apple-converted-space"/>
    <w:basedOn w:val="DefaultParagraphFont"/>
    <w:rsid w:val="000318F4"/>
  </w:style>
  <w:style w:type="paragraph" w:styleId="ListParagraph">
    <w:name w:val="List Paragraph"/>
    <w:basedOn w:val="Normal"/>
    <w:uiPriority w:val="34"/>
    <w:qFormat/>
    <w:rsid w:val="00894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DE"/>
  </w:style>
  <w:style w:type="paragraph" w:styleId="Footer">
    <w:name w:val="footer"/>
    <w:basedOn w:val="Normal"/>
    <w:link w:val="FooterChar"/>
    <w:uiPriority w:val="99"/>
    <w:unhideWhenUsed/>
    <w:rsid w:val="0044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7FE3-E150-4900-902A-1CB1279A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Yan</dc:creator>
  <cp:keywords/>
  <dc:description/>
  <cp:lastModifiedBy>Rachel Yan</cp:lastModifiedBy>
  <cp:revision>39</cp:revision>
  <dcterms:created xsi:type="dcterms:W3CDTF">2017-03-14T13:38:00Z</dcterms:created>
  <dcterms:modified xsi:type="dcterms:W3CDTF">2017-03-17T03:24:00Z</dcterms:modified>
</cp:coreProperties>
</file>